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0" w:name="Par13"/>
      <w:bookmarkEnd w:id="0"/>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 xml:space="preserve">опасных и </w:t>
      </w:r>
      <w:proofErr w:type="spellStart"/>
      <w:r w:rsidR="00371F2A" w:rsidRPr="00055FE8">
        <w:rPr>
          <w:rFonts w:ascii="Times New Roman" w:hAnsi="Times New Roman" w:cs="Times New Roman"/>
          <w:sz w:val="26"/>
          <w:szCs w:val="26"/>
        </w:rPr>
        <w:t>высокоопасных</w:t>
      </w:r>
      <w:proofErr w:type="spellEnd"/>
      <w:r w:rsidR="00371F2A" w:rsidRPr="00055FE8">
        <w:rPr>
          <w:rFonts w:ascii="Times New Roman" w:hAnsi="Times New Roman" w:cs="Times New Roman"/>
          <w:sz w:val="26"/>
          <w:szCs w:val="26"/>
        </w:rPr>
        <w:t xml:space="preserve">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C31541" w:rsidRPr="00055FE8" w:rsidRDefault="003D7355" w:rsidP="001A7795">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bookmarkStart w:id="1" w:name="_GoBack"/>
      <w:bookmarkEnd w:id="1"/>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lastRenderedPageBreak/>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Контейнеры (емкости) должны быть изготовлены из материалов, устойчивых к воздействию кислот, щелочей и иных опасных веществ, а также исключать попадание в 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w:t>
      </w:r>
      <w:proofErr w:type="spellStart"/>
      <w:r w:rsidRPr="00055FE8">
        <w:rPr>
          <w:rFonts w:ascii="Times New Roman" w:hAnsi="Times New Roman" w:cs="Times New Roman"/>
          <w:sz w:val="26"/>
          <w:szCs w:val="26"/>
        </w:rPr>
        <w:t>Росприроднадзора</w:t>
      </w:r>
      <w:proofErr w:type="spellEnd"/>
      <w:r w:rsidRPr="00055FE8">
        <w:rPr>
          <w:rFonts w:ascii="Times New Roman" w:hAnsi="Times New Roman" w:cs="Times New Roman"/>
          <w:sz w:val="26"/>
          <w:szCs w:val="26"/>
        </w:rPr>
        <w:t xml:space="preserve">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lastRenderedPageBreak/>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99" w:rsidRDefault="00E87299" w:rsidP="00E258EF">
      <w:pPr>
        <w:spacing w:after="0" w:line="240" w:lineRule="auto"/>
      </w:pPr>
      <w:r>
        <w:separator/>
      </w:r>
    </w:p>
  </w:endnote>
  <w:endnote w:type="continuationSeparator" w:id="0">
    <w:p w:rsidR="00E87299" w:rsidRDefault="00E87299"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99" w:rsidRDefault="00E87299" w:rsidP="00E258EF">
      <w:pPr>
        <w:spacing w:after="0" w:line="240" w:lineRule="auto"/>
      </w:pPr>
      <w:r>
        <w:separator/>
      </w:r>
    </w:p>
  </w:footnote>
  <w:footnote w:type="continuationSeparator" w:id="0">
    <w:p w:rsidR="00E87299" w:rsidRDefault="00E87299" w:rsidP="00E2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1A7795">
          <w:rPr>
            <w:noProof/>
          </w:rPr>
          <w:t>5</w:t>
        </w:r>
        <w:r>
          <w:fldChar w:fldCharType="end"/>
        </w:r>
      </w:p>
    </w:sdtContent>
  </w:sdt>
  <w:p w:rsidR="00694161" w:rsidRDefault="00694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A7795"/>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87299"/>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2668-AC82-46CB-B261-7B4C820B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RePack by SPecialiST</cp:lastModifiedBy>
  <cp:revision>32</cp:revision>
  <cp:lastPrinted>2024-09-26T16:24:00Z</cp:lastPrinted>
  <dcterms:created xsi:type="dcterms:W3CDTF">2024-09-25T09:15:00Z</dcterms:created>
  <dcterms:modified xsi:type="dcterms:W3CDTF">2024-11-13T11:44:00Z</dcterms:modified>
</cp:coreProperties>
</file>