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4284E">
      <w:pPr>
        <w:spacing w:before="0" w:line="240" w:lineRule="auto"/>
        <w:jc w:val="right"/>
      </w:pPr>
      <w:r>
        <w:t xml:space="preserve">                                                                                 Приложение </w:t>
      </w:r>
    </w:p>
    <w:p w14:paraId="3D7BC3C3">
      <w:pPr>
        <w:spacing w:before="0" w:line="240" w:lineRule="auto"/>
        <w:jc w:val="right"/>
      </w:pPr>
      <w:r>
        <w:t xml:space="preserve"> к </w:t>
      </w:r>
      <w:r>
        <w:rPr>
          <w:lang w:val="ru-RU"/>
        </w:rPr>
        <w:t>п</w:t>
      </w:r>
      <w:r>
        <w:t>остановлению</w:t>
      </w:r>
    </w:p>
    <w:p w14:paraId="5011F598">
      <w:pPr>
        <w:spacing w:before="0" w:line="240" w:lineRule="auto"/>
        <w:jc w:val="right"/>
      </w:pPr>
      <w:r>
        <w:t>Администрации муниципального образования</w:t>
      </w:r>
    </w:p>
    <w:p w14:paraId="5C079552">
      <w:pPr>
        <w:spacing w:before="0" w:line="240" w:lineRule="auto"/>
        <w:jc w:val="right"/>
      </w:pPr>
      <w:r>
        <w:t>«Муниципальный округ Вавожский район</w:t>
      </w:r>
    </w:p>
    <w:p w14:paraId="29F8411C">
      <w:pPr>
        <w:spacing w:before="0" w:line="240" w:lineRule="auto"/>
        <w:jc w:val="right"/>
      </w:pPr>
      <w:r>
        <w:t xml:space="preserve"> Удмуртской Республики» от __.03.2025 № ____</w:t>
      </w:r>
    </w:p>
    <w:p w14:paraId="29F57804">
      <w:pPr>
        <w:spacing w:before="0" w:line="240" w:lineRule="auto"/>
        <w:jc w:val="right"/>
        <w:rPr>
          <w:lang w:val="ru-RU"/>
        </w:rPr>
      </w:pPr>
      <w:r>
        <w:t>У</w:t>
      </w:r>
      <w:r>
        <w:rPr>
          <w:lang w:val="ru-RU"/>
        </w:rPr>
        <w:t>ТВЕРЖДЕНА</w:t>
      </w:r>
    </w:p>
    <w:p w14:paraId="33E68C3D">
      <w:pPr>
        <w:spacing w:before="0" w:line="240" w:lineRule="auto"/>
        <w:jc w:val="right"/>
      </w:pPr>
      <w:r>
        <w:t xml:space="preserve"> постановлением </w:t>
      </w:r>
    </w:p>
    <w:p w14:paraId="2E9EDB6D">
      <w:pPr>
        <w:spacing w:before="0" w:line="240" w:lineRule="auto"/>
        <w:jc w:val="right"/>
      </w:pPr>
      <w:r>
        <w:t xml:space="preserve">                                                                                              Администрации Вавожского района</w:t>
      </w:r>
    </w:p>
    <w:p w14:paraId="1F54A138">
      <w:pPr>
        <w:spacing w:before="0" w:line="240" w:lineRule="auto"/>
        <w:jc w:val="right"/>
      </w:pPr>
      <w:r>
        <w:t xml:space="preserve">                                                                            от 01.07.2014 </w:t>
      </w:r>
      <w:bookmarkStart w:id="1" w:name="_GoBack"/>
      <w:bookmarkEnd w:id="1"/>
      <w:r>
        <w:t xml:space="preserve"> №  645</w:t>
      </w:r>
    </w:p>
    <w:p w14:paraId="0CB992CD">
      <w:pPr>
        <w:spacing w:before="0" w:line="240" w:lineRule="auto"/>
        <w:jc w:val="right"/>
      </w:pPr>
    </w:p>
    <w:p w14:paraId="46417174">
      <w:pPr>
        <w:spacing w:before="0" w:line="240" w:lineRule="auto"/>
        <w:jc w:val="right"/>
      </w:pPr>
      <w:r>
        <w:t xml:space="preserve"> </w:t>
      </w:r>
    </w:p>
    <w:p w14:paraId="57AA44B5">
      <w:pPr>
        <w:spacing w:before="0" w:line="240" w:lineRule="auto"/>
        <w:jc w:val="center"/>
      </w:pPr>
      <w:r>
        <w:t>03. Муниципальная программа</w:t>
      </w:r>
    </w:p>
    <w:p w14:paraId="3A1ABE3A">
      <w:pPr>
        <w:spacing w:before="0" w:line="240" w:lineRule="auto"/>
        <w:jc w:val="center"/>
      </w:pPr>
      <w:r>
        <w:t xml:space="preserve">«Развитие культуры и туризма Вавожского района» </w:t>
      </w:r>
    </w:p>
    <w:p w14:paraId="2F00952E">
      <w:pPr>
        <w:spacing w:before="0" w:line="240" w:lineRule="auto"/>
        <w:jc w:val="center"/>
      </w:pPr>
    </w:p>
    <w:p w14:paraId="4467E4F2">
      <w:pPr>
        <w:spacing w:before="0" w:line="240" w:lineRule="auto"/>
        <w:ind w:right="-85"/>
        <w:jc w:val="center"/>
      </w:pPr>
      <w:bookmarkStart w:id="0" w:name="__DdeLink__1419_1829573449"/>
      <w:bookmarkEnd w:id="0"/>
      <w:r>
        <w:t>Краткая характеристика (паспорт) муниципальной программы</w:t>
      </w:r>
    </w:p>
    <w:tbl>
      <w:tblPr>
        <w:tblStyle w:val="8"/>
        <w:tblW w:w="0" w:type="auto"/>
        <w:tblInd w:w="-71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38" w:type="dxa"/>
          <w:bottom w:w="0" w:type="dxa"/>
          <w:right w:w="108" w:type="dxa"/>
        </w:tblCellMar>
      </w:tblPr>
      <w:tblGrid>
        <w:gridCol w:w="1910"/>
        <w:gridCol w:w="7646"/>
      </w:tblGrid>
      <w:tr w14:paraId="1D884FF5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60C6EC95">
            <w:pPr>
              <w:spacing w:before="0" w:line="240" w:lineRule="auto"/>
            </w:pPr>
            <w:r>
              <w:t>Наименование муниципальной программы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4A6EF3B5">
            <w:pPr>
              <w:spacing w:before="0" w:line="240" w:lineRule="auto"/>
              <w:jc w:val="both"/>
            </w:pPr>
            <w:r>
              <w:t xml:space="preserve">03 - «Развитие культуры и туризма Вавожского района» </w:t>
            </w:r>
          </w:p>
        </w:tc>
      </w:tr>
      <w:tr w14:paraId="4AD7380F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11701E62">
            <w:pPr>
              <w:spacing w:before="0" w:line="240" w:lineRule="auto"/>
            </w:pPr>
            <w:r>
              <w:t xml:space="preserve">Подпрограммы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154A47CE">
            <w:pPr>
              <w:spacing w:before="0" w:line="240" w:lineRule="auto"/>
              <w:jc w:val="both"/>
            </w:pPr>
            <w:r>
              <w:t>03.1 – Организация библиотечное обслуживание населения</w:t>
            </w:r>
          </w:p>
          <w:p w14:paraId="5DB17822">
            <w:pPr>
              <w:spacing w:before="0" w:line="240" w:lineRule="auto"/>
              <w:jc w:val="both"/>
              <w:rPr>
                <w:color w:val="000000"/>
              </w:rPr>
            </w:pPr>
            <w:r>
              <w:t xml:space="preserve">03.2 - </w:t>
            </w:r>
            <w:r>
              <w:rPr>
                <w:color w:val="000000"/>
              </w:rPr>
              <w:t xml:space="preserve">Организация досуга и предоставление услуг организаций культуры </w:t>
            </w:r>
          </w:p>
          <w:p w14:paraId="7C5AA96F">
            <w:pPr>
              <w:spacing w:before="0" w:line="240" w:lineRule="auto"/>
              <w:jc w:val="both"/>
            </w:pPr>
            <w:r>
              <w:t>03.3- Развитие музейного дела</w:t>
            </w:r>
          </w:p>
          <w:p w14:paraId="3D22F58B">
            <w:pPr>
              <w:spacing w:before="0" w:line="240" w:lineRule="auto"/>
              <w:jc w:val="both"/>
            </w:pPr>
            <w:r>
              <w:t>03.4 –Развитие местного народного творчества</w:t>
            </w:r>
          </w:p>
          <w:p w14:paraId="0132B6D5">
            <w:pPr>
              <w:spacing w:before="0" w:line="240" w:lineRule="auto"/>
              <w:jc w:val="both"/>
            </w:pPr>
            <w:r>
              <w:t>03.5- Развитие туризма</w:t>
            </w:r>
          </w:p>
          <w:p w14:paraId="119CBAFC">
            <w:pPr>
              <w:spacing w:before="0" w:line="240" w:lineRule="auto"/>
              <w:jc w:val="both"/>
            </w:pPr>
            <w:r>
              <w:t>03.6- Реализация национальной политики и укрепление гражданского единства</w:t>
            </w:r>
          </w:p>
          <w:p w14:paraId="44BE1277">
            <w:pPr>
              <w:spacing w:before="0" w:line="240" w:lineRule="auto"/>
              <w:jc w:val="both"/>
              <w:rPr>
                <w:color w:val="000000"/>
              </w:rPr>
            </w:pPr>
            <w:r>
              <w:t xml:space="preserve">03.7 - </w:t>
            </w:r>
            <w:r>
              <w:rPr>
                <w:color w:val="000000"/>
              </w:rPr>
              <w:t>Создание условий для реализации муниципальной программы</w:t>
            </w:r>
          </w:p>
        </w:tc>
      </w:tr>
      <w:tr w14:paraId="2F23F945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3D8E6AEB">
            <w:pPr>
              <w:spacing w:before="0" w:line="240" w:lineRule="auto"/>
            </w:pPr>
            <w:r>
              <w:t>Координатор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1BA8A08D">
            <w:pPr>
              <w:spacing w:before="0" w:line="240" w:lineRule="auto"/>
              <w:jc w:val="both"/>
            </w:pPr>
            <w:r>
              <w:t>Заместитель главы Администрации муниципального образования «Муниципальный округ Вавожский район Удмуртской Республики» по социальным вопросам</w:t>
            </w:r>
          </w:p>
        </w:tc>
      </w:tr>
      <w:tr w14:paraId="35C4F777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121EA0D0">
            <w:pPr>
              <w:spacing w:before="0" w:line="240" w:lineRule="auto"/>
            </w:pPr>
            <w:r>
              <w:t xml:space="preserve">Ответственный исполнитель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3C0C0FBF">
            <w:pPr>
              <w:keepNext/>
              <w:spacing w:before="0" w:line="240" w:lineRule="auto"/>
              <w:jc w:val="both"/>
            </w:pPr>
            <w:r>
              <w:t>03.1, 03.2, 03.3, 03.4, 03.5, 03.6, 03.7 Отдел культуры Администрации  муниципального образования «Муниципальный округ Вавожский район Удмуртской Республики» (Отдел культуры Администрации Вавожского района»)</w:t>
            </w:r>
          </w:p>
        </w:tc>
      </w:tr>
      <w:tr w14:paraId="009F3410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60566B57">
            <w:pPr>
              <w:spacing w:before="0" w:line="240" w:lineRule="auto"/>
            </w:pPr>
            <w:r>
              <w:t xml:space="preserve">Соисполнители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6E60E403">
            <w:pPr>
              <w:spacing w:before="0" w:line="240" w:lineRule="auto"/>
              <w:jc w:val="both"/>
            </w:pPr>
            <w:r>
              <w:t>03.1 - Администрация муниципального образования «Муниципальный округ Вавожский район Удмуртской Республики» (Администрация Вавожского района), МБУК «Вавожская ЦБС»</w:t>
            </w:r>
          </w:p>
          <w:p w14:paraId="16182727">
            <w:pPr>
              <w:spacing w:before="0" w:line="240" w:lineRule="auto"/>
              <w:jc w:val="both"/>
            </w:pPr>
            <w:r>
              <w:t>03.2 - Администрация муниципального образования «Муниципальный округ Вавожский район Удмуртской Республики» (Администрация Вавожского района), МБУК «Вавожский РДК»</w:t>
            </w:r>
          </w:p>
          <w:p w14:paraId="37A2B18D">
            <w:pPr>
              <w:keepNext/>
              <w:spacing w:before="0" w:line="240" w:lineRule="auto"/>
              <w:jc w:val="both"/>
            </w:pPr>
            <w:r>
              <w:t>03.3 Администрация муниципального образования «Муниципальный округ Вавожский район Удмуртской Республики» (Администрация Вавожского района), МБУК «Вавожский районный краеведческий музей»</w:t>
            </w:r>
          </w:p>
          <w:p w14:paraId="77823268">
            <w:pPr>
              <w:spacing w:before="0" w:line="240" w:lineRule="auto"/>
              <w:jc w:val="both"/>
            </w:pPr>
            <w:r>
              <w:t>03.4 - Администрация муниципального образования «Муниципальный округ Вавожский район Удмуртской Республики» (Администрация Вавожского района), МБУК «Вавожский ЦДПИиР», МБУК «Вавожский РДК»</w:t>
            </w:r>
          </w:p>
          <w:p w14:paraId="58D4A4DC">
            <w:pPr>
              <w:pStyle w:val="79"/>
              <w:spacing w:before="0" w:line="240" w:lineRule="auto"/>
              <w:jc w:val="both"/>
              <w:rPr>
                <w:color w:val="000000"/>
              </w:rPr>
            </w:pPr>
            <w:r>
              <w:t>03.5 – Администрация муниципального образования «Муниципальный округ Вавожский район Удмуртской Республики»</w:t>
            </w:r>
            <w:r>
              <w:rPr>
                <w:color w:val="000000"/>
              </w:rPr>
              <w:t>, МБУК «Вавожский районный краеведческий музей»</w:t>
            </w:r>
          </w:p>
          <w:p w14:paraId="70C5671B">
            <w:pPr>
              <w:keepNext/>
              <w:spacing w:before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03.6 – </w:t>
            </w:r>
            <w:r>
              <w:t>Администрация муниципального образования «Муниципальный округ Вавожский район Удмуртской Республики»</w:t>
            </w:r>
            <w:r>
              <w:rPr>
                <w:color w:val="000000"/>
              </w:rPr>
              <w:t xml:space="preserve"> (Администрация Вавожского района)</w:t>
            </w:r>
          </w:p>
          <w:p w14:paraId="6011792F">
            <w:pPr>
              <w:keepNext/>
              <w:spacing w:before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03.7 – </w:t>
            </w:r>
            <w:r>
              <w:t>Администрация муниципального образования «Муниципальный округ Вавожский район Удмуртской Республики»</w:t>
            </w:r>
            <w:r>
              <w:rPr>
                <w:color w:val="000000"/>
              </w:rPr>
              <w:t xml:space="preserve"> (Администрация Вавожского района)</w:t>
            </w:r>
          </w:p>
          <w:p w14:paraId="1962DC04">
            <w:pPr>
              <w:keepNext/>
              <w:spacing w:before="0" w:line="240" w:lineRule="auto"/>
              <w:jc w:val="both"/>
            </w:pPr>
          </w:p>
        </w:tc>
      </w:tr>
      <w:tr w14:paraId="7B8CF69B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910" w:type="dxa"/>
            <w:tcBorders>
              <w:bottom w:val="single" w:color="auto" w:sz="4" w:space="0"/>
            </w:tcBorders>
            <w:shd w:val="clear" w:color="auto" w:fill="FFFFFF"/>
            <w:tcMar>
              <w:left w:w="38" w:type="dxa"/>
            </w:tcMar>
          </w:tcPr>
          <w:p w14:paraId="769CFC89">
            <w:pPr>
              <w:spacing w:before="0" w:line="240" w:lineRule="auto"/>
            </w:pPr>
            <w:r>
              <w:t>Цель</w:t>
            </w:r>
          </w:p>
        </w:tc>
        <w:tc>
          <w:tcPr>
            <w:tcW w:w="7646" w:type="dxa"/>
            <w:tcBorders>
              <w:bottom w:val="single" w:color="auto" w:sz="4" w:space="0"/>
            </w:tcBorders>
            <w:shd w:val="clear" w:color="auto" w:fill="FFFFFF"/>
            <w:tcMar>
              <w:left w:w="38" w:type="dxa"/>
            </w:tcMar>
          </w:tcPr>
          <w:p w14:paraId="7F9112D8">
            <w:pPr>
              <w:spacing w:before="0" w:line="240" w:lineRule="auto"/>
              <w:jc w:val="both"/>
            </w:pPr>
            <w:r>
              <w:t>Создание условий, обеспечивающих равный доступ населения Вавожского района к культурным ценностям и услугам, формирование благоприятной среды для творческой самореализации граждан в рамках решения вопросов местного значения</w:t>
            </w:r>
          </w:p>
        </w:tc>
      </w:tr>
      <w:tr w14:paraId="73825B60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910" w:type="dxa"/>
            <w:tcBorders>
              <w:top w:val="single" w:color="auto" w:sz="4" w:space="0"/>
            </w:tcBorders>
            <w:shd w:val="clear" w:color="auto" w:fill="FFFFFF"/>
            <w:tcMar>
              <w:left w:w="38" w:type="dxa"/>
            </w:tcMar>
          </w:tcPr>
          <w:p w14:paraId="69DD882D">
            <w:r>
              <w:t>Задачи программы (цели подпрограмм)</w:t>
            </w:r>
          </w:p>
        </w:tc>
        <w:tc>
          <w:tcPr>
            <w:tcW w:w="7646" w:type="dxa"/>
            <w:tcBorders>
              <w:top w:val="single" w:color="auto" w:sz="4" w:space="0"/>
            </w:tcBorders>
            <w:shd w:val="clear" w:color="auto" w:fill="FFFFFF"/>
            <w:tcMar>
              <w:left w:w="38" w:type="dxa"/>
            </w:tcMar>
          </w:tcPr>
          <w:p w14:paraId="72BE0787">
            <w:pPr>
              <w:spacing w:before="0" w:line="240" w:lineRule="auto"/>
              <w:jc w:val="both"/>
            </w:pPr>
            <w:r>
              <w:t>03.1 - Совершенствование системы библиотечного обслуживания, повышение качества и доступности библиотечных услуг для населения Вавожского района, вне зависимости от места проживания.</w:t>
            </w:r>
          </w:p>
          <w:p w14:paraId="7F33B66F">
            <w:pPr>
              <w:spacing w:before="0" w:line="240" w:lineRule="auto"/>
              <w:jc w:val="both"/>
            </w:pPr>
            <w:r>
              <w:t xml:space="preserve">03.2 - Создание условий для раскрытия творческого потенциала личности, удовлетворения жителями района своих духовных и культурных потребностей, содержательного использования свободного времени. </w:t>
            </w:r>
          </w:p>
          <w:p w14:paraId="7DEAABD8">
            <w:pPr>
              <w:spacing w:before="0" w:line="240" w:lineRule="auto"/>
              <w:jc w:val="both"/>
            </w:pPr>
            <w:r>
              <w:t>03.3 – Сохранение и пополнение музейных фондов, повышение доступности и качества музейных услуг.</w:t>
            </w:r>
          </w:p>
          <w:p w14:paraId="2ECF707C">
            <w:pPr>
              <w:spacing w:before="0" w:line="240" w:lineRule="auto"/>
              <w:jc w:val="both"/>
            </w:pPr>
            <w:r>
              <w:t xml:space="preserve">03.4 - </w:t>
            </w:r>
            <w:r>
              <w:rPr>
                <w:lang w:eastAsia="en-US"/>
              </w:rPr>
              <w:t xml:space="preserve">Создание условий для сохранения </w:t>
            </w:r>
            <w:r>
              <w:t>и поддержки  народного творчества;</w:t>
            </w:r>
          </w:p>
          <w:p w14:paraId="671B17FE">
            <w:pPr>
              <w:spacing w:before="0" w:line="240" w:lineRule="auto"/>
              <w:jc w:val="both"/>
              <w:rPr>
                <w:lang w:eastAsia="en-US"/>
              </w:rPr>
            </w:pPr>
            <w:r>
              <w:t xml:space="preserve">03.5 - </w:t>
            </w:r>
            <w:r>
              <w:rPr>
                <w:lang w:eastAsia="en-US"/>
              </w:rPr>
              <w:t>Повышение эффективности использования туристского потенциала Вавожского района Удмуртской Республики, увеличение внутреннего и въездного туристских потоков.</w:t>
            </w:r>
          </w:p>
          <w:p w14:paraId="1574480A">
            <w:pPr>
              <w:spacing w:before="0" w:line="240" w:lineRule="auto"/>
              <w:jc w:val="both"/>
            </w:pPr>
            <w:r>
              <w:rPr>
                <w:lang w:eastAsia="en-US"/>
              </w:rPr>
              <w:t xml:space="preserve">03.6 - </w:t>
            </w:r>
            <w:r>
              <w:t>Сохранение и укрепление межнациональных отношений.</w:t>
            </w:r>
          </w:p>
          <w:p w14:paraId="28FC562A">
            <w:pPr>
              <w:spacing w:before="0" w:line="240" w:lineRule="auto"/>
              <w:jc w:val="both"/>
            </w:pPr>
            <w:r>
              <w:t>03.7 - Выполнение полномочий в сфере культуры, отнесенных к вопросам местного значения муниципального района, а также переданных органами местного самоуправления поселений, повышение эффективности и результативности деятельности сферы культуры в Вавожском районе.</w:t>
            </w:r>
          </w:p>
        </w:tc>
      </w:tr>
      <w:tr w14:paraId="6ED8E7DC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6AF87512">
            <w:pPr>
              <w:spacing w:before="28" w:after="119"/>
            </w:pPr>
            <w:r>
              <w:t>Приоритетные проекты (программы), реализуемые в рамках государственной программы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58B035D7">
            <w:pPr>
              <w:keepNext/>
              <w:spacing w:before="28" w:after="119"/>
              <w:jc w:val="both"/>
              <w:rPr>
                <w:color w:val="000000"/>
              </w:rPr>
            </w:pPr>
            <w:r>
              <w:rPr>
                <w:color w:val="000000"/>
              </w:rPr>
              <w:t>Приоритетные проекты (программы) в рамках государственной программы не реализуются</w:t>
            </w:r>
          </w:p>
          <w:p w14:paraId="7B0E4E25">
            <w:pPr>
              <w:keepNext/>
              <w:spacing w:before="28" w:after="119"/>
              <w:jc w:val="both"/>
              <w:rPr>
                <w:color w:val="000000"/>
              </w:rPr>
            </w:pPr>
          </w:p>
        </w:tc>
      </w:tr>
      <w:tr w14:paraId="7C52C753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1243DE08">
            <w:pPr>
              <w:spacing w:before="28" w:after="119"/>
            </w:pPr>
            <w:r>
              <w:t>Региональные проекты (программы), реализуемые в рамках государственной программы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50A99D2A">
            <w:pPr>
              <w:pStyle w:val="59"/>
              <w:keepNext/>
              <w:numPr>
                <w:ilvl w:val="0"/>
                <w:numId w:val="1"/>
              </w:numPr>
              <w:spacing w:before="28" w:after="119"/>
              <w:contextualSpacing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«Обеспечение качественно нового уровня развития инфраструктуры культуры»  «Культурная среда»;</w:t>
            </w:r>
          </w:p>
          <w:p w14:paraId="15FF404F">
            <w:pPr>
              <w:pStyle w:val="59"/>
              <w:keepNext/>
              <w:numPr>
                <w:ilvl w:val="0"/>
                <w:numId w:val="1"/>
              </w:numPr>
              <w:spacing w:before="28" w:after="119"/>
              <w:contextualSpacing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«Создание условий для реализации творческого потенциала нации» «Творческие люди»</w:t>
            </w:r>
          </w:p>
        </w:tc>
      </w:tr>
      <w:tr w14:paraId="5AE7FDF6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0EB5B6F0">
            <w:pPr>
              <w:spacing w:before="0" w:line="240" w:lineRule="auto"/>
            </w:pPr>
            <w:r>
              <w:t>Сроки и этапы  реализации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6C37CB5C">
            <w:pPr>
              <w:spacing w:before="0" w:line="240" w:lineRule="auto"/>
              <w:jc w:val="both"/>
            </w:pPr>
            <w:r>
              <w:t xml:space="preserve">Срок реализации муниципальной программы и ее подпрограмм: </w:t>
            </w:r>
          </w:p>
          <w:p w14:paraId="33816EC6">
            <w:pPr>
              <w:spacing w:before="0" w:line="240" w:lineRule="auto"/>
              <w:jc w:val="both"/>
            </w:pPr>
            <w:r>
              <w:t>1 этап - 2015-2018 г.г.</w:t>
            </w:r>
          </w:p>
          <w:p w14:paraId="07838091">
            <w:pPr>
              <w:spacing w:before="0" w:line="240" w:lineRule="auto"/>
              <w:jc w:val="both"/>
            </w:pPr>
            <w:r>
              <w:t>2 этап – 2019-2028 г.г.</w:t>
            </w:r>
          </w:p>
        </w:tc>
      </w:tr>
      <w:tr w14:paraId="5B9743C7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1106A48E">
            <w:pPr>
              <w:spacing w:before="0" w:line="240" w:lineRule="auto"/>
            </w:pPr>
            <w:r>
              <w:t>Ресурсное обеспечение за счет средств бюджета Вавожского района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46E39B6D">
            <w:pPr>
              <w:spacing w:before="0" w:line="240" w:lineRule="auto"/>
              <w:rPr>
                <w:color w:val="auto"/>
              </w:rPr>
            </w:pPr>
            <w:r>
              <w:t xml:space="preserve">Объем средств бюджета </w:t>
            </w:r>
            <w:r>
              <w:rPr>
                <w:color w:val="auto"/>
              </w:rPr>
              <w:t xml:space="preserve">Вавожского района на реализацию муниципальной программы составит </w:t>
            </w:r>
            <w:r>
              <w:rPr>
                <w:color w:val="auto"/>
                <w:lang w:eastAsia="en-US"/>
              </w:rPr>
              <w:t>1 293 167</w:t>
            </w:r>
            <w:r>
              <w:rPr>
                <w:color w:val="auto"/>
              </w:rPr>
              <w:t xml:space="preserve"> (в тыс. руб.):</w:t>
            </w:r>
          </w:p>
          <w:tbl>
            <w:tblPr>
              <w:tblStyle w:val="8"/>
              <w:tblW w:w="0" w:type="auto"/>
              <w:tblInd w:w="1" w:type="dxa"/>
              <w:tblBorders>
                <w:top w:val="single" w:color="000001" w:sz="2" w:space="0"/>
                <w:left w:val="single" w:color="000001" w:sz="2" w:space="0"/>
                <w:bottom w:val="single" w:color="000001" w:sz="2" w:space="0"/>
                <w:right w:val="none" w:color="auto" w:sz="0" w:space="0"/>
                <w:insideH w:val="single" w:color="000001" w:sz="2" w:space="0"/>
                <w:insideV w:val="none" w:color="auto" w:sz="0" w:space="0"/>
              </w:tblBorders>
              <w:tblLayout w:type="autofit"/>
              <w:tblCellMar>
                <w:top w:w="55" w:type="dxa"/>
                <w:left w:w="21" w:type="dxa"/>
                <w:bottom w:w="55" w:type="dxa"/>
                <w:right w:w="55" w:type="dxa"/>
              </w:tblCellMar>
            </w:tblPr>
            <w:tblGrid>
              <w:gridCol w:w="2095"/>
              <w:gridCol w:w="1165"/>
              <w:gridCol w:w="1617"/>
              <w:gridCol w:w="1294"/>
              <w:gridCol w:w="1273"/>
            </w:tblGrid>
            <w:tr w14:paraId="3E565AA5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vMerge w:val="restart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4CE7526">
                  <w:pPr>
                    <w:spacing w:before="0" w:line="240" w:lineRule="auto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Годы реализации</w:t>
                  </w:r>
                </w:p>
              </w:tc>
              <w:tc>
                <w:tcPr>
                  <w:tcW w:w="1165" w:type="dxa"/>
                  <w:vMerge w:val="restart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F70F066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Всего</w:t>
                  </w:r>
                </w:p>
              </w:tc>
              <w:tc>
                <w:tcPr>
                  <w:tcW w:w="4184" w:type="dxa"/>
                  <w:gridSpan w:val="3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4AC3385E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В том числе за счет:</w:t>
                  </w:r>
                </w:p>
              </w:tc>
            </w:tr>
            <w:tr w14:paraId="165D866A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vMerge w:val="continue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1E04662">
                  <w:pPr>
                    <w:spacing w:before="0" w:line="240" w:lineRule="auto"/>
                    <w:rPr>
                      <w:color w:val="auto"/>
                    </w:rPr>
                  </w:pPr>
                </w:p>
              </w:tc>
              <w:tc>
                <w:tcPr>
                  <w:tcW w:w="1165" w:type="dxa"/>
                  <w:vMerge w:val="continue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3F8DA4B">
                  <w:pPr>
                    <w:spacing w:before="0" w:line="240" w:lineRule="auto"/>
                    <w:rPr>
                      <w:color w:val="auto"/>
                    </w:rPr>
                  </w:pP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CDB4E07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Собственных средств Вавожского района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44D5A20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Субсидий из бюджета УР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068779EF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МБТ из бюджетов поселений</w:t>
                  </w:r>
                </w:p>
              </w:tc>
            </w:tr>
            <w:tr w14:paraId="51B2CBCB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CFA5A04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2015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B5C0632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51780,6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4669597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29351,80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0E858B24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561,90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343789E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21761,00</w:t>
                  </w:r>
                </w:p>
              </w:tc>
            </w:tr>
            <w:tr w14:paraId="721F7E0C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3411944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2016г.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03731C79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51330,30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2180E78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29313,90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FEFFA7F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1066,90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54699900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20429,00</w:t>
                  </w:r>
                </w:p>
              </w:tc>
            </w:tr>
            <w:tr w14:paraId="64BBC1F7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3D338586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2017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C96468F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64278,00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C1DD6D5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47590,00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0FC77F06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160,00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7360D441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16430,00</w:t>
                  </w:r>
                </w:p>
              </w:tc>
            </w:tr>
            <w:tr w14:paraId="0BCD489E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20D006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2018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7D5BAA0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74781,90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D6556FA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53202,70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33C6A045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80,00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65FF3CD3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19597,80</w:t>
                  </w:r>
                </w:p>
              </w:tc>
            </w:tr>
            <w:tr w14:paraId="097620CA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rPr>
                <w:trHeight w:val="521" w:hRule="atLeast"/>
              </w:trPr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D678055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2019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6B319CA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84612,2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FF13D36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57511,00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4C630DC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7180,80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224D45A9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19919,60</w:t>
                  </w:r>
                </w:p>
              </w:tc>
            </w:tr>
            <w:tr w14:paraId="5D469F25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rPr>
                <w:trHeight w:val="240" w:hRule="atLeast"/>
              </w:trPr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3D4A84C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2020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04926F3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78563,70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1683315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57156,80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57CA1AB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1125,00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auto" w:sz="4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5952EC78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20169,10</w:t>
                  </w:r>
                </w:p>
              </w:tc>
            </w:tr>
            <w:tr w14:paraId="1C61C85B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rPr>
                <w:trHeight w:val="600" w:hRule="atLeast"/>
              </w:trPr>
              <w:tc>
                <w:tcPr>
                  <w:tcW w:w="2095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9542954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2021 г.</w:t>
                  </w:r>
                </w:p>
              </w:tc>
              <w:tc>
                <w:tcPr>
                  <w:tcW w:w="1165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CC26205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86550,3</w:t>
                  </w: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38371FE0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59790,10</w:t>
                  </w:r>
                </w:p>
              </w:tc>
              <w:tc>
                <w:tcPr>
                  <w:tcW w:w="1294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35CEA7D9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5409F0A5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20169,10</w:t>
                  </w:r>
                </w:p>
              </w:tc>
            </w:tr>
            <w:tr w14:paraId="51E4109A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rPr>
                <w:trHeight w:val="195" w:hRule="atLeast"/>
              </w:trPr>
              <w:tc>
                <w:tcPr>
                  <w:tcW w:w="2095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E4FF970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2022 г.</w:t>
                  </w:r>
                </w:p>
              </w:tc>
              <w:tc>
                <w:tcPr>
                  <w:tcW w:w="1165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0D21283D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88954,00</w:t>
                  </w: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C116B06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85638,10</w:t>
                  </w:r>
                </w:p>
              </w:tc>
              <w:tc>
                <w:tcPr>
                  <w:tcW w:w="1294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343AE3A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60,50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667FDA3C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7D6BA16A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rPr>
                <w:trHeight w:val="345" w:hRule="atLeast"/>
              </w:trPr>
              <w:tc>
                <w:tcPr>
                  <w:tcW w:w="2095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355DD7DC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2023 г.</w:t>
                  </w:r>
                </w:p>
              </w:tc>
              <w:tc>
                <w:tcPr>
                  <w:tcW w:w="1165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6C2EECAF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94820,7</w:t>
                  </w: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F3AE6A4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91139,3</w:t>
                  </w:r>
                </w:p>
              </w:tc>
              <w:tc>
                <w:tcPr>
                  <w:tcW w:w="1294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1AEFF29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979,80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000001" w:sz="2" w:space="0"/>
                    <w:bottom w:val="single" w:color="auto" w:sz="4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617FC313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3DD2BB59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rPr>
                <w:trHeight w:val="255" w:hRule="atLeast"/>
              </w:trPr>
              <w:tc>
                <w:tcPr>
                  <w:tcW w:w="2095" w:type="dxa"/>
                  <w:tcBorders>
                    <w:top w:val="single" w:color="auto" w:sz="4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51C66D5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2024 г.</w:t>
                  </w:r>
                </w:p>
              </w:tc>
              <w:tc>
                <w:tcPr>
                  <w:tcW w:w="1165" w:type="dxa"/>
                  <w:tcBorders>
                    <w:top w:val="single" w:color="auto" w:sz="4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DA1AEA7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117231,9</w:t>
                  </w:r>
                </w:p>
              </w:tc>
              <w:tc>
                <w:tcPr>
                  <w:tcW w:w="1617" w:type="dxa"/>
                  <w:tcBorders>
                    <w:top w:val="single" w:color="auto" w:sz="4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EB61C20">
                  <w:pPr>
                    <w:spacing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</w:rPr>
                    <w:t>112343,4</w:t>
                  </w:r>
                </w:p>
              </w:tc>
              <w:tc>
                <w:tcPr>
                  <w:tcW w:w="1294" w:type="dxa"/>
                  <w:tcBorders>
                    <w:top w:val="single" w:color="auto" w:sz="4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3B61E133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4888,50</w:t>
                  </w:r>
                </w:p>
              </w:tc>
              <w:tc>
                <w:tcPr>
                  <w:tcW w:w="1273" w:type="dxa"/>
                  <w:tcBorders>
                    <w:top w:val="single" w:color="auto" w:sz="4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350938BF">
                  <w:pPr>
                    <w:spacing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43EAFF9E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86A1581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2025 г.</w:t>
                  </w:r>
                </w:p>
                <w:p w14:paraId="78C7DD56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6832687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135992,1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069CD4E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119847,8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5F5EF05">
                  <w:pPr>
                    <w:spacing w:before="0" w:line="240" w:lineRule="auto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 xml:space="preserve">  16144,30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06DF69D0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62BEADFF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95D2CF0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2026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691B32C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120469,5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E93A3D5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120279,70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1100FE2B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189,8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6E237EA7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1C0CA730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8260E0A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2027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6F57FE1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123383,9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337CA4F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123181,2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E58FE02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202,7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47156D3D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7042C87A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2C7690BD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2028 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B9B7441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120417,9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75C7DA65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120215,2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0F124D67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202,7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4C3033DF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0,00</w:t>
                  </w:r>
                </w:p>
              </w:tc>
            </w:tr>
            <w:tr w14:paraId="6C3720F3">
              <w:tblPrEx>
                <w:tblBorders>
                  <w:top w:val="single" w:color="000001" w:sz="2" w:space="0"/>
                  <w:left w:val="single" w:color="000001" w:sz="2" w:space="0"/>
                  <w:bottom w:val="single" w:color="000001" w:sz="2" w:space="0"/>
                  <w:right w:val="none" w:color="auto" w:sz="0" w:space="0"/>
                  <w:insideH w:val="single" w:color="000001" w:sz="2" w:space="0"/>
                  <w:insideV w:val="none" w:color="auto" w:sz="0" w:space="0"/>
                </w:tblBorders>
                <w:tblCellMar>
                  <w:top w:w="55" w:type="dxa"/>
                  <w:left w:w="21" w:type="dxa"/>
                  <w:bottom w:w="55" w:type="dxa"/>
                  <w:right w:w="55" w:type="dxa"/>
                </w:tblCellMar>
              </w:tblPrEx>
              <w:tc>
                <w:tcPr>
                  <w:tcW w:w="209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D11E1B0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Итого 2015-2028 гг.</w:t>
                  </w:r>
                </w:p>
              </w:tc>
              <w:tc>
                <w:tcPr>
                  <w:tcW w:w="1165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20BF008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1 293 167</w:t>
                  </w:r>
                </w:p>
              </w:tc>
              <w:tc>
                <w:tcPr>
                  <w:tcW w:w="1617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5F044D9A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1106561</w:t>
                  </w:r>
                </w:p>
              </w:tc>
              <w:tc>
                <w:tcPr>
                  <w:tcW w:w="1294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nil"/>
                  </w:tcBorders>
                  <w:shd w:val="clear" w:color="auto" w:fill="FFFFFF"/>
                  <w:tcMar>
                    <w:left w:w="21" w:type="dxa"/>
                  </w:tcMar>
                </w:tcPr>
                <w:p w14:paraId="4321FFF6">
                  <w:pPr>
                    <w:spacing w:before="0" w:line="240" w:lineRule="auto"/>
                    <w:jc w:val="center"/>
                    <w:rPr>
                      <w:color w:val="auto"/>
                      <w:lang w:eastAsia="en-US"/>
                    </w:rPr>
                  </w:pPr>
                  <w:r>
                    <w:rPr>
                      <w:color w:val="auto"/>
                      <w:lang w:eastAsia="en-US"/>
                    </w:rPr>
                    <w:t>12890,50</w:t>
                  </w:r>
                </w:p>
              </w:tc>
              <w:tc>
                <w:tcPr>
                  <w:tcW w:w="1273" w:type="dxa"/>
                  <w:tcBorders>
                    <w:top w:val="single" w:color="000001" w:sz="2" w:space="0"/>
                    <w:left w:val="single" w:color="000001" w:sz="2" w:space="0"/>
                    <w:bottom w:val="single" w:color="000001" w:sz="2" w:space="0"/>
                    <w:right w:val="single" w:color="000001" w:sz="2" w:space="0"/>
                  </w:tcBorders>
                  <w:shd w:val="clear" w:color="auto" w:fill="FFFFFF"/>
                  <w:tcMar>
                    <w:left w:w="21" w:type="dxa"/>
                  </w:tcMar>
                </w:tcPr>
                <w:p w14:paraId="0A65533E">
                  <w:pPr>
                    <w:spacing w:before="0" w:line="240" w:lineRule="auto"/>
                    <w:jc w:val="center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138475,60</w:t>
                  </w:r>
                </w:p>
              </w:tc>
            </w:tr>
          </w:tbl>
          <w:p w14:paraId="19F809A8">
            <w:pPr>
              <w:spacing w:before="0" w:line="240" w:lineRule="auto"/>
              <w:jc w:val="both"/>
            </w:pPr>
            <w:r>
              <w:t>Ресурсное обеспечение муниципальной программы за счет средств бюджета муниципального образования «Муниципальный округ Вавожский район Удмуртской Республики» подлежит уточнению в рамках бюджетного цикла.</w:t>
            </w:r>
          </w:p>
        </w:tc>
      </w:tr>
      <w:tr w14:paraId="0EDA7C89"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38" w:type="dxa"/>
            <w:bottom w:w="0" w:type="dxa"/>
            <w:right w:w="108" w:type="dxa"/>
          </w:tblCellMar>
        </w:tblPrEx>
        <w:tc>
          <w:tcPr>
            <w:tcW w:w="1910" w:type="dxa"/>
            <w:shd w:val="clear" w:color="auto" w:fill="FFFFFF"/>
            <w:tcMar>
              <w:left w:w="38" w:type="dxa"/>
            </w:tcMar>
          </w:tcPr>
          <w:p w14:paraId="551009A6">
            <w:pPr>
              <w:spacing w:before="0" w:line="240" w:lineRule="auto"/>
            </w:pPr>
            <w: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646" w:type="dxa"/>
            <w:shd w:val="clear" w:color="auto" w:fill="FFFFFF"/>
            <w:tcMar>
              <w:left w:w="38" w:type="dxa"/>
            </w:tcMar>
          </w:tcPr>
          <w:p w14:paraId="634F15C5">
            <w:pPr>
              <w:spacing w:before="0" w:line="240" w:lineRule="auto"/>
              <w:jc w:val="both"/>
            </w:pPr>
            <w:r>
              <w:t>Ожидаемые конечные результаты реализации муниципальной программы:</w:t>
            </w:r>
          </w:p>
          <w:p w14:paraId="6C03190E">
            <w:pPr>
              <w:shd w:val="clear" w:color="auto" w:fill="FFFFFF"/>
              <w:spacing w:before="0" w:line="240" w:lineRule="auto"/>
              <w:jc w:val="both"/>
            </w:pPr>
            <w:r>
              <w:t>1)удовлетворение потребностей населения Вавожского района в библиотечных услугах, повышение их качества и доступности;</w:t>
            </w:r>
          </w:p>
          <w:p w14:paraId="4DE51CE8">
            <w:pPr>
              <w:spacing w:before="0" w:line="240" w:lineRule="auto"/>
              <w:jc w:val="both"/>
            </w:pPr>
            <w:r>
              <w:t>2)создание благоприятных условий для творческой деятельности и самореализации жителей района, разнообразие и доступность предлагаемых услуг и мероприятий в сфере культуры, обеспечение сохранности культурных ценностей, хранящихся в музеях;</w:t>
            </w:r>
          </w:p>
          <w:p w14:paraId="6992BCA2">
            <w:pPr>
              <w:shd w:val="clear" w:color="auto" w:fill="FFFFFF"/>
              <w:spacing w:before="0" w:line="240" w:lineRule="auto"/>
              <w:jc w:val="both"/>
            </w:pPr>
            <w:r>
              <w:t>3)укрепление духовной общности, сохранение и развитие национальных культур, популяризация истории и традиций народов, проживающих на территории Вавожского района;</w:t>
            </w:r>
          </w:p>
          <w:p w14:paraId="3D5B7036">
            <w:pPr>
              <w:shd w:val="clear" w:color="auto" w:fill="FFFFFF"/>
              <w:spacing w:before="0" w:line="240" w:lineRule="auto"/>
              <w:jc w:val="both"/>
            </w:pPr>
            <w:r>
              <w:t xml:space="preserve">4)создание условий для сохранения, эффективного использования и популяризации объектов культурного наследия, расположенных на территории МО «Вавожский район»; </w:t>
            </w:r>
          </w:p>
          <w:p w14:paraId="77ECADE4">
            <w:pPr>
              <w:spacing w:before="0" w:line="240" w:lineRule="auto"/>
              <w:jc w:val="both"/>
            </w:pPr>
            <w:r>
              <w:t>5)повышение эффективности и результативности деятельности сферы культуры в Вавожском районе.</w:t>
            </w:r>
          </w:p>
          <w:p w14:paraId="4DD801B5">
            <w:pPr>
              <w:spacing w:before="0" w:line="240" w:lineRule="auto"/>
              <w:jc w:val="both"/>
            </w:pPr>
            <w:r>
              <w:t>Для оценки результатов реализации муниципальной программы в ее подпрограммах предусмотрена система целевых показателей (индикаторов) и их значений по годам реализации муниципальной программы.</w:t>
            </w:r>
          </w:p>
          <w:p w14:paraId="72C65C96">
            <w:pPr>
              <w:spacing w:before="0" w:line="240" w:lineRule="auto"/>
              <w:jc w:val="both"/>
            </w:pPr>
            <w:r>
              <w:t>От реализации муниципальной  программы будут получены социальный и экономический эффекты, влияющие на другие сферы жизнедеятельности.</w:t>
            </w:r>
          </w:p>
          <w:p w14:paraId="3EDACC8C">
            <w:pPr>
              <w:spacing w:before="0" w:line="240" w:lineRule="auto"/>
              <w:jc w:val="both"/>
            </w:pPr>
            <w:r>
              <w:t>Социальный эффект заключается в повышении качества жизни населения, в повышении образовательного уровня, изменении ценностных ориентиров и норм поведения жителей района, что в конечном итоге влияет на основы функционирования общества.</w:t>
            </w:r>
          </w:p>
          <w:p w14:paraId="6AE5D99E">
            <w:pPr>
              <w:spacing w:before="0" w:line="240" w:lineRule="auto"/>
              <w:jc w:val="both"/>
            </w:pPr>
            <w:r>
              <w:t>Экономический эффект заключается в создании благоприятных условий жизнедеятельности на территории Вавожского района, повышение интеллектуального потенциала его жителей, что, в конечном итоге, влияет на производительность труда, объем инвестиций. Сохранение, развитие и популяризация нематериального культурного наследия может стать одним из ключевых факторов развития туризма на территории района.</w:t>
            </w:r>
          </w:p>
        </w:tc>
      </w:tr>
    </w:tbl>
    <w:p w14:paraId="6EE84A3D">
      <w:pPr>
        <w:shd w:val="clear" w:color="auto" w:fill="FFFFFF"/>
        <w:spacing w:before="0" w:line="240" w:lineRule="auto"/>
        <w:jc w:val="both"/>
      </w:pPr>
    </w:p>
    <w:sectPr>
      <w:footerReference r:id="rId5" w:type="default"/>
      <w:pgSz w:w="11906" w:h="16838"/>
      <w:pgMar w:top="567" w:right="851" w:bottom="567" w:left="1701" w:header="0" w:footer="0" w:gutter="0"/>
      <w:cols w:space="720" w:num="1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CC"/>
    <w:family w:val="roman"/>
    <w:pitch w:val="default"/>
    <w:sig w:usb0="00000000" w:usb1="00000000" w:usb2="00000021" w:usb3="00000000" w:csb0="000001B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nsultant, 'Courier New'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B10484">
    <w:pPr>
      <w:pStyle w:val="17"/>
      <w:ind w:right="360"/>
      <w:jc w:val="center"/>
    </w:pPr>
  </w:p>
  <w:p w14:paraId="2E072A2D">
    <w:r>
      <w:fldChar w:fldCharType="begin"/>
    </w:r>
    <w:r>
      <w:instrText xml:space="preserve">PAGE</w:instrText>
    </w:r>
    <w:r>
      <w:fldChar w:fldCharType="separate"/>
    </w:r>
    <w:r>
      <w:t>3</w:t>
    </w:r>
    <w:r>
      <w:fldChar w:fldCharType="end"/>
    </w:r>
  </w:p>
  <w:p w14:paraId="63E9BB50">
    <w:pPr>
      <w:pStyle w:val="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BE4BCE"/>
    <w:multiLevelType w:val="multilevel"/>
    <w:tmpl w:val="11BE4BC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7C3B"/>
    <w:rsid w:val="0002765A"/>
    <w:rsid w:val="00027C5F"/>
    <w:rsid w:val="00040518"/>
    <w:rsid w:val="0004399D"/>
    <w:rsid w:val="0004602A"/>
    <w:rsid w:val="00063E89"/>
    <w:rsid w:val="00077391"/>
    <w:rsid w:val="00077559"/>
    <w:rsid w:val="00092607"/>
    <w:rsid w:val="000A14DF"/>
    <w:rsid w:val="000A587E"/>
    <w:rsid w:val="000D0885"/>
    <w:rsid w:val="000D578A"/>
    <w:rsid w:val="00137C9B"/>
    <w:rsid w:val="0014631B"/>
    <w:rsid w:val="00157CBE"/>
    <w:rsid w:val="0016070B"/>
    <w:rsid w:val="00172333"/>
    <w:rsid w:val="001755E7"/>
    <w:rsid w:val="0018418E"/>
    <w:rsid w:val="001D2B29"/>
    <w:rsid w:val="001E6537"/>
    <w:rsid w:val="001E734C"/>
    <w:rsid w:val="001F2FEC"/>
    <w:rsid w:val="001F7AB4"/>
    <w:rsid w:val="00204CCC"/>
    <w:rsid w:val="00210EEF"/>
    <w:rsid w:val="00221115"/>
    <w:rsid w:val="00221654"/>
    <w:rsid w:val="002258C8"/>
    <w:rsid w:val="0023525B"/>
    <w:rsid w:val="002362E1"/>
    <w:rsid w:val="00240AB5"/>
    <w:rsid w:val="00247406"/>
    <w:rsid w:val="002619A1"/>
    <w:rsid w:val="002622EB"/>
    <w:rsid w:val="00287BFC"/>
    <w:rsid w:val="002924EC"/>
    <w:rsid w:val="002A0A5B"/>
    <w:rsid w:val="002C22C5"/>
    <w:rsid w:val="002C3B2E"/>
    <w:rsid w:val="002C5A30"/>
    <w:rsid w:val="00311CEC"/>
    <w:rsid w:val="003350F5"/>
    <w:rsid w:val="0033568D"/>
    <w:rsid w:val="00335F33"/>
    <w:rsid w:val="00345D09"/>
    <w:rsid w:val="00347D7B"/>
    <w:rsid w:val="00363AC5"/>
    <w:rsid w:val="00374C05"/>
    <w:rsid w:val="003C6340"/>
    <w:rsid w:val="003F1859"/>
    <w:rsid w:val="003F3C97"/>
    <w:rsid w:val="00402470"/>
    <w:rsid w:val="004076EF"/>
    <w:rsid w:val="00412D9A"/>
    <w:rsid w:val="004524E3"/>
    <w:rsid w:val="00477E0A"/>
    <w:rsid w:val="00484C7C"/>
    <w:rsid w:val="004904D5"/>
    <w:rsid w:val="004C1D11"/>
    <w:rsid w:val="004E2B43"/>
    <w:rsid w:val="004F2290"/>
    <w:rsid w:val="004F2E69"/>
    <w:rsid w:val="00553DAC"/>
    <w:rsid w:val="00573127"/>
    <w:rsid w:val="00586E1F"/>
    <w:rsid w:val="005909F2"/>
    <w:rsid w:val="005B61DD"/>
    <w:rsid w:val="005D118A"/>
    <w:rsid w:val="005E08DC"/>
    <w:rsid w:val="005F6AA8"/>
    <w:rsid w:val="00615DDC"/>
    <w:rsid w:val="00630850"/>
    <w:rsid w:val="0064357A"/>
    <w:rsid w:val="00650A42"/>
    <w:rsid w:val="00653AA2"/>
    <w:rsid w:val="006619C1"/>
    <w:rsid w:val="00663D1A"/>
    <w:rsid w:val="0068110B"/>
    <w:rsid w:val="00682405"/>
    <w:rsid w:val="006878B6"/>
    <w:rsid w:val="006A45FF"/>
    <w:rsid w:val="006B61C6"/>
    <w:rsid w:val="006D38BA"/>
    <w:rsid w:val="006E4B38"/>
    <w:rsid w:val="006E72F8"/>
    <w:rsid w:val="006F6BAC"/>
    <w:rsid w:val="006F7579"/>
    <w:rsid w:val="00724374"/>
    <w:rsid w:val="007263F5"/>
    <w:rsid w:val="00727260"/>
    <w:rsid w:val="00736AE1"/>
    <w:rsid w:val="00744679"/>
    <w:rsid w:val="007724A4"/>
    <w:rsid w:val="00782774"/>
    <w:rsid w:val="0078312F"/>
    <w:rsid w:val="007D1BFE"/>
    <w:rsid w:val="007D3F72"/>
    <w:rsid w:val="007D4689"/>
    <w:rsid w:val="007E17B8"/>
    <w:rsid w:val="008120BD"/>
    <w:rsid w:val="008131AE"/>
    <w:rsid w:val="00822D2F"/>
    <w:rsid w:val="00845C68"/>
    <w:rsid w:val="008756A0"/>
    <w:rsid w:val="00884381"/>
    <w:rsid w:val="00894148"/>
    <w:rsid w:val="00895A49"/>
    <w:rsid w:val="008A3B96"/>
    <w:rsid w:val="008A5C0F"/>
    <w:rsid w:val="008B2F61"/>
    <w:rsid w:val="008E26F0"/>
    <w:rsid w:val="009058A6"/>
    <w:rsid w:val="0091280A"/>
    <w:rsid w:val="0092505A"/>
    <w:rsid w:val="00940EB9"/>
    <w:rsid w:val="00973E40"/>
    <w:rsid w:val="00975762"/>
    <w:rsid w:val="00976A89"/>
    <w:rsid w:val="009A6ABD"/>
    <w:rsid w:val="009E0B12"/>
    <w:rsid w:val="009E7E82"/>
    <w:rsid w:val="009F4739"/>
    <w:rsid w:val="00A064A3"/>
    <w:rsid w:val="00A65080"/>
    <w:rsid w:val="00A73591"/>
    <w:rsid w:val="00AA4F7C"/>
    <w:rsid w:val="00AB0678"/>
    <w:rsid w:val="00AB2C48"/>
    <w:rsid w:val="00AB4CFB"/>
    <w:rsid w:val="00AC2637"/>
    <w:rsid w:val="00AD6DD3"/>
    <w:rsid w:val="00AE20D8"/>
    <w:rsid w:val="00AE28F5"/>
    <w:rsid w:val="00B13BDF"/>
    <w:rsid w:val="00B21A3E"/>
    <w:rsid w:val="00B22C89"/>
    <w:rsid w:val="00B312E9"/>
    <w:rsid w:val="00B41DC1"/>
    <w:rsid w:val="00B473D9"/>
    <w:rsid w:val="00B643FB"/>
    <w:rsid w:val="00B77984"/>
    <w:rsid w:val="00B85BFF"/>
    <w:rsid w:val="00B87C3B"/>
    <w:rsid w:val="00B91DD8"/>
    <w:rsid w:val="00B95C55"/>
    <w:rsid w:val="00BA4BA6"/>
    <w:rsid w:val="00BB60B6"/>
    <w:rsid w:val="00BF0CEB"/>
    <w:rsid w:val="00BF1FB6"/>
    <w:rsid w:val="00C107FE"/>
    <w:rsid w:val="00C164CA"/>
    <w:rsid w:val="00C230D8"/>
    <w:rsid w:val="00C267B0"/>
    <w:rsid w:val="00C34361"/>
    <w:rsid w:val="00C5181B"/>
    <w:rsid w:val="00C53284"/>
    <w:rsid w:val="00C63C0A"/>
    <w:rsid w:val="00C709BE"/>
    <w:rsid w:val="00C8734D"/>
    <w:rsid w:val="00C9023C"/>
    <w:rsid w:val="00C97292"/>
    <w:rsid w:val="00D01CB5"/>
    <w:rsid w:val="00D1011D"/>
    <w:rsid w:val="00D25E5A"/>
    <w:rsid w:val="00D3473E"/>
    <w:rsid w:val="00D35338"/>
    <w:rsid w:val="00D52C0C"/>
    <w:rsid w:val="00D817AA"/>
    <w:rsid w:val="00D873CA"/>
    <w:rsid w:val="00DA14B8"/>
    <w:rsid w:val="00DB2EED"/>
    <w:rsid w:val="00DC0970"/>
    <w:rsid w:val="00DD0A3E"/>
    <w:rsid w:val="00E12416"/>
    <w:rsid w:val="00E1509A"/>
    <w:rsid w:val="00E15E66"/>
    <w:rsid w:val="00E357DD"/>
    <w:rsid w:val="00E87CA0"/>
    <w:rsid w:val="00EB4DAF"/>
    <w:rsid w:val="00EC55EB"/>
    <w:rsid w:val="00ED7280"/>
    <w:rsid w:val="00F149B4"/>
    <w:rsid w:val="00F175D1"/>
    <w:rsid w:val="00F235BD"/>
    <w:rsid w:val="00FB7F89"/>
    <w:rsid w:val="00FC334A"/>
    <w:rsid w:val="00FE74C3"/>
    <w:rsid w:val="00FF3953"/>
    <w:rsid w:val="00FF6CAC"/>
    <w:rsid w:val="34F6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Liberation Serif" w:hAnsi="Liberation Serif" w:eastAsia="Lucida Sans Unicode" w:cs="Mang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0" w:name="Table Web 3" w:locked="1"/>
    <w:lsdException w:qFormat="1" w:unhideWhenUsed="0" w:uiPriority="99" w:name="Balloon Text"/>
    <w:lsdException w:unhideWhenUsed="0" w:uiPriority="0" w:semiHidden="0" w:name="Table Grid" w:locked="1"/>
    <w:lsdException w:uiPriority="0" w:name="Table Theme" w:locked="1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uppressAutoHyphens/>
      <w:spacing w:before="240" w:line="100" w:lineRule="atLeas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2">
    <w:name w:val="heading 1"/>
    <w:basedOn w:val="1"/>
    <w:link w:val="22"/>
    <w:qFormat/>
    <w:uiPriority w:val="99"/>
    <w:pPr>
      <w:keepNext/>
      <w:widowControl w:val="0"/>
      <w:spacing w:before="0" w:after="200"/>
      <w:jc w:val="center"/>
      <w:outlineLvl w:val="0"/>
    </w:pPr>
    <w:rPr>
      <w:rFonts w:ascii="Cambria" w:hAnsi="Cambria" w:eastAsia="Lucida Sans Unicode" w:cs="Cambria"/>
      <w:b/>
      <w:bCs/>
      <w:kern w:val="32"/>
      <w:sz w:val="32"/>
      <w:szCs w:val="32"/>
    </w:rPr>
  </w:style>
  <w:style w:type="paragraph" w:styleId="3">
    <w:name w:val="heading 2"/>
    <w:basedOn w:val="4"/>
    <w:link w:val="23"/>
    <w:qFormat/>
    <w:uiPriority w:val="99"/>
    <w:pPr>
      <w:outlineLvl w:val="1"/>
    </w:pPr>
    <w:rPr>
      <w:rFonts w:ascii="Cambria" w:hAnsi="Cambria" w:cs="Cambria"/>
      <w:b/>
      <w:bCs/>
      <w:i/>
      <w:iCs/>
    </w:rPr>
  </w:style>
  <w:style w:type="paragraph" w:styleId="6">
    <w:name w:val="heading 3"/>
    <w:basedOn w:val="4"/>
    <w:link w:val="24"/>
    <w:qFormat/>
    <w:uiPriority w:val="99"/>
    <w:pPr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Заголовок1"/>
    <w:basedOn w:val="1"/>
    <w:next w:val="5"/>
    <w:uiPriority w:val="99"/>
    <w:pPr>
      <w:keepNext/>
      <w:spacing w:after="120"/>
    </w:pPr>
    <w:rPr>
      <w:rFonts w:ascii="Arial" w:hAnsi="Arial" w:eastAsia="Lucida Sans Unicode" w:cs="Arial"/>
      <w:sz w:val="28"/>
      <w:szCs w:val="28"/>
    </w:rPr>
  </w:style>
  <w:style w:type="paragraph" w:styleId="5">
    <w:name w:val="Body Text"/>
    <w:basedOn w:val="1"/>
    <w:link w:val="54"/>
    <w:uiPriority w:val="99"/>
    <w:pPr>
      <w:widowControl w:val="0"/>
      <w:spacing w:before="0" w:after="120" w:line="288" w:lineRule="auto"/>
    </w:pPr>
    <w:rPr>
      <w:rFonts w:eastAsia="Lucida Sans Unicode"/>
    </w:rPr>
  </w:style>
  <w:style w:type="character" w:styleId="9">
    <w:name w:val="footnote reference"/>
    <w:semiHidden/>
    <w:uiPriority w:val="99"/>
    <w:rPr>
      <w:vertAlign w:val="superscript"/>
    </w:rPr>
  </w:style>
  <w:style w:type="character" w:styleId="10">
    <w:name w:val="page number"/>
    <w:basedOn w:val="7"/>
    <w:uiPriority w:val="99"/>
  </w:style>
  <w:style w:type="paragraph" w:styleId="11">
    <w:name w:val="Balloon Text"/>
    <w:basedOn w:val="1"/>
    <w:link w:val="80"/>
    <w:semiHidden/>
    <w:qFormat/>
    <w:uiPriority w:val="99"/>
    <w:pPr>
      <w:spacing w:before="0" w:line="240" w:lineRule="auto"/>
    </w:pPr>
    <w:rPr>
      <w:rFonts w:ascii="Segoe UI" w:hAnsi="Segoe UI" w:cs="Segoe UI"/>
      <w:sz w:val="18"/>
      <w:szCs w:val="18"/>
    </w:rPr>
  </w:style>
  <w:style w:type="paragraph" w:styleId="12">
    <w:name w:val="index 1"/>
    <w:basedOn w:val="1"/>
    <w:next w:val="1"/>
    <w:autoRedefine/>
    <w:semiHidden/>
    <w:uiPriority w:val="99"/>
    <w:pPr>
      <w:ind w:left="240" w:hanging="240"/>
    </w:pPr>
  </w:style>
  <w:style w:type="paragraph" w:styleId="13">
    <w:name w:val="footnote text"/>
    <w:basedOn w:val="1"/>
    <w:link w:val="60"/>
    <w:semiHidden/>
    <w:uiPriority w:val="99"/>
    <w:pPr>
      <w:spacing w:before="0"/>
    </w:pPr>
    <w:rPr>
      <w:rFonts w:eastAsia="Lucida Sans Unicode"/>
      <w:sz w:val="20"/>
      <w:szCs w:val="20"/>
    </w:rPr>
  </w:style>
  <w:style w:type="paragraph" w:styleId="14">
    <w:name w:val="header"/>
    <w:basedOn w:val="1"/>
    <w:link w:val="69"/>
    <w:qFormat/>
    <w:uiPriority w:val="99"/>
    <w:pPr>
      <w:tabs>
        <w:tab w:val="center" w:pos="4677"/>
        <w:tab w:val="right" w:pos="9355"/>
      </w:tabs>
      <w:spacing w:before="0"/>
    </w:pPr>
    <w:rPr>
      <w:rFonts w:eastAsia="Lucida Sans Unicode"/>
    </w:rPr>
  </w:style>
  <w:style w:type="paragraph" w:styleId="15">
    <w:name w:val="index heading"/>
    <w:basedOn w:val="1"/>
    <w:semiHidden/>
    <w:uiPriority w:val="99"/>
    <w:pPr>
      <w:suppressLineNumbers/>
    </w:pPr>
  </w:style>
  <w:style w:type="paragraph" w:styleId="16">
    <w:name w:val="Title"/>
    <w:basedOn w:val="1"/>
    <w:link w:val="55"/>
    <w:qFormat/>
    <w:uiPriority w:val="99"/>
    <w:pPr>
      <w:suppressLineNumbers/>
      <w:spacing w:before="120" w:after="120"/>
    </w:pPr>
    <w:rPr>
      <w:rFonts w:ascii="Cambria" w:hAnsi="Cambria" w:eastAsia="Lucida Sans Unicode" w:cs="Cambria"/>
      <w:b/>
      <w:bCs/>
      <w:kern w:val="28"/>
      <w:sz w:val="32"/>
      <w:szCs w:val="32"/>
    </w:rPr>
  </w:style>
  <w:style w:type="paragraph" w:styleId="17">
    <w:name w:val="footer"/>
    <w:basedOn w:val="1"/>
    <w:link w:val="57"/>
    <w:uiPriority w:val="99"/>
    <w:pPr>
      <w:tabs>
        <w:tab w:val="center" w:pos="4677"/>
        <w:tab w:val="right" w:pos="9355"/>
      </w:tabs>
      <w:spacing w:before="0"/>
    </w:pPr>
    <w:rPr>
      <w:rFonts w:eastAsia="Lucida Sans Unicode"/>
    </w:rPr>
  </w:style>
  <w:style w:type="paragraph" w:styleId="18">
    <w:name w:val="List"/>
    <w:basedOn w:val="5"/>
    <w:uiPriority w:val="99"/>
  </w:style>
  <w:style w:type="paragraph" w:styleId="19">
    <w:name w:val="Normal (Web)"/>
    <w:basedOn w:val="1"/>
    <w:uiPriority w:val="99"/>
    <w:pPr>
      <w:spacing w:before="28" w:after="28"/>
    </w:pPr>
  </w:style>
  <w:style w:type="paragraph" w:styleId="20">
    <w:name w:val="Subtitle"/>
    <w:basedOn w:val="4"/>
    <w:link w:val="77"/>
    <w:qFormat/>
    <w:uiPriority w:val="99"/>
    <w:rPr>
      <w:rFonts w:ascii="Cambria" w:hAnsi="Cambria" w:cs="Cambria"/>
      <w:sz w:val="24"/>
      <w:szCs w:val="24"/>
    </w:rPr>
  </w:style>
  <w:style w:type="paragraph" w:styleId="21">
    <w:name w:val="Block Text"/>
    <w:basedOn w:val="1"/>
    <w:qFormat/>
    <w:uiPriority w:val="99"/>
  </w:style>
  <w:style w:type="character" w:customStyle="1" w:styleId="22">
    <w:name w:val="Заголовок 1 Знак1"/>
    <w:link w:val="2"/>
    <w:locked/>
    <w:uiPriority w:val="99"/>
    <w:rPr>
      <w:rFonts w:ascii="Cambria" w:hAnsi="Cambria" w:cs="Cambria"/>
      <w:b/>
      <w:bCs/>
      <w:color w:val="00000A"/>
      <w:kern w:val="32"/>
      <w:sz w:val="32"/>
      <w:szCs w:val="32"/>
    </w:rPr>
  </w:style>
  <w:style w:type="character" w:customStyle="1" w:styleId="23">
    <w:name w:val="Заголовок 2 Знак"/>
    <w:link w:val="3"/>
    <w:semiHidden/>
    <w:locked/>
    <w:uiPriority w:val="99"/>
    <w:rPr>
      <w:rFonts w:ascii="Cambria" w:hAnsi="Cambria" w:cs="Cambria"/>
      <w:b/>
      <w:bCs/>
      <w:i/>
      <w:iCs/>
      <w:color w:val="00000A"/>
      <w:sz w:val="28"/>
      <w:szCs w:val="28"/>
    </w:rPr>
  </w:style>
  <w:style w:type="character" w:customStyle="1" w:styleId="24">
    <w:name w:val="Заголовок 3 Знак"/>
    <w:link w:val="6"/>
    <w:semiHidden/>
    <w:locked/>
    <w:uiPriority w:val="99"/>
    <w:rPr>
      <w:rFonts w:ascii="Cambria" w:hAnsi="Cambria" w:cs="Cambria"/>
      <w:b/>
      <w:bCs/>
      <w:color w:val="00000A"/>
      <w:sz w:val="26"/>
      <w:szCs w:val="26"/>
    </w:rPr>
  </w:style>
  <w:style w:type="character" w:customStyle="1" w:styleId="25">
    <w:name w:val="Заголовок 1 Знак"/>
    <w:uiPriority w:val="99"/>
    <w:rPr>
      <w:rFonts w:ascii="Times New Roman" w:hAnsi="Times New Roman" w:cs="Times New Roman"/>
      <w:b/>
      <w:bCs/>
      <w:color w:val="000000"/>
      <w:sz w:val="24"/>
      <w:szCs w:val="24"/>
      <w:lang w:val="en-US"/>
    </w:rPr>
  </w:style>
  <w:style w:type="character" w:customStyle="1" w:styleId="26">
    <w:name w:val="Ниж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_"/>
    <w:uiPriority w:val="99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8">
    <w:name w:val="WW8Num15z1"/>
    <w:uiPriority w:val="99"/>
    <w:rPr>
      <w:rFonts w:ascii="Courier New" w:hAnsi="Courier New" w:cs="Courier New"/>
      <w:sz w:val="20"/>
      <w:szCs w:val="20"/>
    </w:rPr>
  </w:style>
  <w:style w:type="character" w:customStyle="1" w:styleId="29">
    <w:name w:val="Символ сноски"/>
    <w:uiPriority w:val="99"/>
    <w:rPr>
      <w:vertAlign w:val="superscript"/>
    </w:rPr>
  </w:style>
  <w:style w:type="character" w:customStyle="1" w:styleId="30">
    <w:name w:val="Абзац списка Знак"/>
    <w:uiPriority w:val="99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31">
    <w:name w:val="Текст сноски Знак"/>
    <w:uiPriority w:val="99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32">
    <w:name w:val="Интернет-ссылка"/>
    <w:uiPriority w:val="99"/>
    <w:rPr>
      <w:color w:val="0000FF"/>
      <w:u w:val="single"/>
    </w:rPr>
  </w:style>
  <w:style w:type="character" w:customStyle="1" w:styleId="33">
    <w:name w:val="Основной текст Знак"/>
    <w:uiPriority w:val="99"/>
    <w:rPr>
      <w:rFonts w:ascii="Times New Roman" w:hAnsi="Times New Roman" w:cs="Times New Roman"/>
      <w:sz w:val="24"/>
      <w:szCs w:val="24"/>
    </w:rPr>
  </w:style>
  <w:style w:type="character" w:customStyle="1" w:styleId="34">
    <w:name w:val="Верхний колонтитул Знак"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5">
    <w:name w:val="List Paragraph Char"/>
    <w:uiPriority w:val="99"/>
    <w:rPr>
      <w:rFonts w:ascii="Times New Roman" w:hAnsi="Times New Roman" w:cs="Times New Roman"/>
      <w:sz w:val="24"/>
      <w:szCs w:val="24"/>
    </w:rPr>
  </w:style>
  <w:style w:type="character" w:customStyle="1" w:styleId="36">
    <w:name w:val="ListLabel 1"/>
    <w:uiPriority w:val="99"/>
    <w:rPr>
      <w:rFonts w:eastAsia="Times New Roman"/>
      <w:color w:val="000000"/>
      <w:spacing w:val="0"/>
      <w:w w:val="100"/>
      <w:sz w:val="26"/>
      <w:szCs w:val="26"/>
      <w:u w:val="none"/>
    </w:rPr>
  </w:style>
  <w:style w:type="character" w:customStyle="1" w:styleId="37">
    <w:name w:val="ListLabel 2"/>
    <w:uiPriority w:val="99"/>
  </w:style>
  <w:style w:type="character" w:customStyle="1" w:styleId="38">
    <w:name w:val="ListLabel 3"/>
    <w:uiPriority w:val="99"/>
    <w:rPr>
      <w:sz w:val="22"/>
      <w:szCs w:val="22"/>
    </w:rPr>
  </w:style>
  <w:style w:type="character" w:customStyle="1" w:styleId="39">
    <w:name w:val="ListLabel 4"/>
    <w:uiPriority w:val="99"/>
    <w:rPr>
      <w:sz w:val="24"/>
      <w:szCs w:val="24"/>
    </w:rPr>
  </w:style>
  <w:style w:type="character" w:customStyle="1" w:styleId="40">
    <w:name w:val="ListLabel 5"/>
    <w:uiPriority w:val="99"/>
    <w:rPr>
      <w:sz w:val="24"/>
      <w:szCs w:val="24"/>
    </w:rPr>
  </w:style>
  <w:style w:type="character" w:customStyle="1" w:styleId="41">
    <w:name w:val="ListLabel 6"/>
    <w:uiPriority w:val="99"/>
  </w:style>
  <w:style w:type="character" w:customStyle="1" w:styleId="42">
    <w:name w:val="ListLabel 7"/>
    <w:uiPriority w:val="99"/>
  </w:style>
  <w:style w:type="character" w:customStyle="1" w:styleId="43">
    <w:name w:val="Привязка сноски"/>
    <w:uiPriority w:val="99"/>
    <w:rPr>
      <w:vertAlign w:val="superscript"/>
    </w:rPr>
  </w:style>
  <w:style w:type="character" w:customStyle="1" w:styleId="44">
    <w:name w:val="Привязка концевой сноски"/>
    <w:uiPriority w:val="99"/>
    <w:rPr>
      <w:vertAlign w:val="superscript"/>
    </w:rPr>
  </w:style>
  <w:style w:type="character" w:customStyle="1" w:styleId="45">
    <w:name w:val="ListLabel 8"/>
    <w:uiPriority w:val="99"/>
    <w:rPr>
      <w:color w:val="000000"/>
      <w:spacing w:val="0"/>
      <w:w w:val="100"/>
      <w:sz w:val="26"/>
      <w:szCs w:val="26"/>
      <w:u w:val="none"/>
    </w:rPr>
  </w:style>
  <w:style w:type="character" w:customStyle="1" w:styleId="46">
    <w:name w:val="ListLabel 9"/>
    <w:uiPriority w:val="99"/>
  </w:style>
  <w:style w:type="character" w:customStyle="1" w:styleId="47">
    <w:name w:val="ListLabel 10"/>
    <w:uiPriority w:val="99"/>
  </w:style>
  <w:style w:type="character" w:customStyle="1" w:styleId="48">
    <w:name w:val="ListLabel 11"/>
    <w:uiPriority w:val="99"/>
  </w:style>
  <w:style w:type="character" w:customStyle="1" w:styleId="49">
    <w:name w:val="ListLabel 12"/>
    <w:uiPriority w:val="99"/>
    <w:rPr>
      <w:sz w:val="24"/>
      <w:szCs w:val="24"/>
    </w:rPr>
  </w:style>
  <w:style w:type="character" w:customStyle="1" w:styleId="50">
    <w:name w:val="ListLabel 13"/>
    <w:uiPriority w:val="99"/>
  </w:style>
  <w:style w:type="character" w:customStyle="1" w:styleId="51">
    <w:name w:val="ListLabel 14"/>
    <w:uiPriority w:val="99"/>
  </w:style>
  <w:style w:type="character" w:customStyle="1" w:styleId="52">
    <w:name w:val="ListLabel 15"/>
    <w:uiPriority w:val="99"/>
  </w:style>
  <w:style w:type="character" w:customStyle="1" w:styleId="53">
    <w:name w:val="ListLabel 16"/>
    <w:uiPriority w:val="99"/>
    <w:rPr>
      <w:sz w:val="24"/>
      <w:szCs w:val="24"/>
    </w:rPr>
  </w:style>
  <w:style w:type="character" w:customStyle="1" w:styleId="54">
    <w:name w:val="Основной текст Знак1"/>
    <w:link w:val="5"/>
    <w:semiHidden/>
    <w:locked/>
    <w:uiPriority w:val="99"/>
    <w:rPr>
      <w:rFonts w:ascii="Times New Roman" w:hAnsi="Times New Roman" w:cs="Times New Roman"/>
      <w:color w:val="00000A"/>
      <w:sz w:val="24"/>
      <w:szCs w:val="24"/>
    </w:rPr>
  </w:style>
  <w:style w:type="character" w:customStyle="1" w:styleId="55">
    <w:name w:val="Заголовок Знак"/>
    <w:link w:val="16"/>
    <w:locked/>
    <w:uiPriority w:val="99"/>
    <w:rPr>
      <w:rFonts w:ascii="Cambria" w:hAnsi="Cambria" w:cs="Cambria"/>
      <w:b/>
      <w:bCs/>
      <w:color w:val="00000A"/>
      <w:kern w:val="28"/>
      <w:sz w:val="32"/>
      <w:szCs w:val="32"/>
    </w:rPr>
  </w:style>
  <w:style w:type="paragraph" w:customStyle="1" w:styleId="56">
    <w:name w:val="Заглавие"/>
    <w:basedOn w:val="1"/>
    <w:uiPriority w:val="99"/>
    <w:pPr>
      <w:suppressLineNumbers/>
      <w:spacing w:before="120" w:after="120"/>
    </w:pPr>
    <w:rPr>
      <w:i/>
      <w:iCs/>
    </w:rPr>
  </w:style>
  <w:style w:type="character" w:customStyle="1" w:styleId="57">
    <w:name w:val="Нижний колонтитул Знак1"/>
    <w:link w:val="17"/>
    <w:semiHidden/>
    <w:locked/>
    <w:uiPriority w:val="99"/>
    <w:rPr>
      <w:rFonts w:ascii="Times New Roman" w:hAnsi="Times New Roman" w:cs="Times New Roman"/>
      <w:color w:val="00000A"/>
      <w:sz w:val="24"/>
      <w:szCs w:val="24"/>
    </w:rPr>
  </w:style>
  <w:style w:type="paragraph" w:customStyle="1" w:styleId="58">
    <w:name w:val="Основной текст2"/>
    <w:basedOn w:val="1"/>
    <w:uiPriority w:val="99"/>
    <w:pPr>
      <w:shd w:val="clear" w:color="auto" w:fill="FFFFFF"/>
      <w:spacing w:before="420" w:after="60"/>
      <w:ind w:hanging="220"/>
    </w:pPr>
    <w:rPr>
      <w:sz w:val="26"/>
      <w:szCs w:val="26"/>
      <w:lang w:eastAsia="en-US"/>
    </w:rPr>
  </w:style>
  <w:style w:type="paragraph" w:styleId="59">
    <w:name w:val="List Paragraph"/>
    <w:basedOn w:val="1"/>
    <w:qFormat/>
    <w:uiPriority w:val="34"/>
    <w:pPr>
      <w:ind w:left="720"/>
    </w:pPr>
    <w:rPr>
      <w:lang w:eastAsia="zh-CN"/>
    </w:rPr>
  </w:style>
  <w:style w:type="character" w:customStyle="1" w:styleId="60">
    <w:name w:val="Текст сноски Знак1"/>
    <w:link w:val="13"/>
    <w:semiHidden/>
    <w:locked/>
    <w:uiPriority w:val="99"/>
    <w:rPr>
      <w:rFonts w:ascii="Times New Roman" w:hAnsi="Times New Roman" w:cs="Times New Roman"/>
      <w:color w:val="00000A"/>
      <w:sz w:val="20"/>
      <w:szCs w:val="20"/>
    </w:rPr>
  </w:style>
  <w:style w:type="paragraph" w:customStyle="1" w:styleId="61">
    <w:name w:val="ConsPlusTitle"/>
    <w:uiPriority w:val="99"/>
    <w:pPr>
      <w:suppressAutoHyphens/>
      <w:spacing w:line="100" w:lineRule="atLeast"/>
    </w:pPr>
    <w:rPr>
      <w:rFonts w:ascii="Arial" w:hAnsi="Arial" w:eastAsia="Lucida Sans Unicode" w:cs="Arial"/>
      <w:b/>
      <w:bCs/>
      <w:color w:val="00000A"/>
      <w:lang w:val="ru-RU" w:eastAsia="ru-RU" w:bidi="ar-SA"/>
    </w:rPr>
  </w:style>
  <w:style w:type="paragraph" w:customStyle="1" w:styleId="62">
    <w:name w:val="Заголовок 11"/>
    <w:basedOn w:val="1"/>
    <w:uiPriority w:val="99"/>
    <w:pPr>
      <w:keepNext/>
      <w:widowControl w:val="0"/>
      <w:spacing w:before="0"/>
    </w:pPr>
    <w:rPr>
      <w:b/>
      <w:bCs/>
      <w:sz w:val="20"/>
      <w:szCs w:val="20"/>
      <w:lang w:eastAsia="zh-CN"/>
    </w:rPr>
  </w:style>
  <w:style w:type="paragraph" w:customStyle="1" w:styleId="63">
    <w:name w:val="Заголовок 21"/>
    <w:basedOn w:val="1"/>
    <w:uiPriority w:val="99"/>
    <w:pPr>
      <w:keepNext/>
      <w:widowControl w:val="0"/>
      <w:spacing w:before="0"/>
      <w:ind w:left="57"/>
    </w:pPr>
    <w:rPr>
      <w:b/>
      <w:bCs/>
      <w:sz w:val="20"/>
      <w:szCs w:val="20"/>
      <w:lang w:eastAsia="zh-CN"/>
    </w:rPr>
  </w:style>
  <w:style w:type="paragraph" w:customStyle="1" w:styleId="64">
    <w:name w:val="Заголовок 31"/>
    <w:basedOn w:val="1"/>
    <w:uiPriority w:val="99"/>
    <w:pPr>
      <w:keepNext/>
      <w:widowControl w:val="0"/>
      <w:spacing w:before="0"/>
      <w:jc w:val="right"/>
    </w:pPr>
    <w:rPr>
      <w:b/>
      <w:bCs/>
      <w:sz w:val="16"/>
      <w:szCs w:val="16"/>
      <w:lang w:eastAsia="zh-CN"/>
    </w:rPr>
  </w:style>
  <w:style w:type="paragraph" w:customStyle="1" w:styleId="65">
    <w:name w:val="Содержимое таблицы"/>
    <w:basedOn w:val="1"/>
    <w:qFormat/>
    <w:uiPriority w:val="99"/>
    <w:pPr>
      <w:widowControl w:val="0"/>
      <w:suppressLineNumbers/>
      <w:spacing w:before="0"/>
    </w:pPr>
    <w:rPr>
      <w:rFonts w:eastAsia="Lucida Sans Unicode"/>
    </w:rPr>
  </w:style>
  <w:style w:type="paragraph" w:styleId="66">
    <w:name w:val="No Spacing"/>
    <w:qFormat/>
    <w:uiPriority w:val="99"/>
    <w:pPr>
      <w:suppressAutoHyphens/>
      <w:spacing w:line="100" w:lineRule="atLeast"/>
    </w:pPr>
    <w:rPr>
      <w:rFonts w:ascii="Times New Roman" w:hAnsi="Times New Roman" w:eastAsia="Lucida Sans Unicode" w:cs="Times New Roman"/>
      <w:color w:val="00000A"/>
      <w:sz w:val="24"/>
      <w:szCs w:val="24"/>
      <w:lang w:val="ru-RU" w:eastAsia="ru-RU" w:bidi="ar-SA"/>
    </w:rPr>
  </w:style>
  <w:style w:type="paragraph" w:customStyle="1" w:styleId="67">
    <w:name w:val="ConsNormal"/>
    <w:uiPriority w:val="99"/>
    <w:pPr>
      <w:widowControl w:val="0"/>
      <w:suppressAutoHyphens/>
      <w:spacing w:line="100" w:lineRule="atLeast"/>
      <w:ind w:firstLine="720"/>
    </w:pPr>
    <w:rPr>
      <w:rFonts w:ascii="Consultant, 'Courier New'" w:hAnsi="Consultant, 'Courier New'" w:eastAsia="Lucida Sans Unicode" w:cs="Consultant, 'Courier New'"/>
      <w:color w:val="00000A"/>
      <w:lang w:val="ru-RU" w:eastAsia="en-US" w:bidi="ar-SA"/>
    </w:rPr>
  </w:style>
  <w:style w:type="paragraph" w:customStyle="1" w:styleId="68">
    <w:name w:val="ConsPlusNonformat"/>
    <w:qFormat/>
    <w:uiPriority w:val="99"/>
    <w:pPr>
      <w:widowControl w:val="0"/>
      <w:suppressAutoHyphens/>
      <w:spacing w:line="100" w:lineRule="atLeast"/>
    </w:pPr>
    <w:rPr>
      <w:rFonts w:ascii="Courier New" w:hAnsi="Courier New" w:eastAsia="Times New Roman" w:cs="Courier New"/>
      <w:color w:val="00000A"/>
      <w:lang w:val="ru-RU" w:eastAsia="ar-SA" w:bidi="ar-SA"/>
    </w:rPr>
  </w:style>
  <w:style w:type="character" w:customStyle="1" w:styleId="69">
    <w:name w:val="Верхний колонтитул Знак1"/>
    <w:link w:val="14"/>
    <w:semiHidden/>
    <w:qFormat/>
    <w:locked/>
    <w:uiPriority w:val="99"/>
    <w:rPr>
      <w:rFonts w:ascii="Times New Roman" w:hAnsi="Times New Roman" w:cs="Times New Roman"/>
      <w:color w:val="00000A"/>
      <w:sz w:val="24"/>
      <w:szCs w:val="24"/>
    </w:rPr>
  </w:style>
  <w:style w:type="paragraph" w:customStyle="1" w:styleId="70">
    <w:name w:val="Абзац списка1"/>
    <w:basedOn w:val="1"/>
    <w:qFormat/>
    <w:uiPriority w:val="99"/>
    <w:pPr>
      <w:spacing w:before="0"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71">
    <w:name w:val="formattext topleveltext"/>
    <w:basedOn w:val="1"/>
    <w:qFormat/>
    <w:uiPriority w:val="99"/>
    <w:pPr>
      <w:spacing w:before="28" w:after="28"/>
    </w:pPr>
  </w:style>
  <w:style w:type="paragraph" w:customStyle="1" w:styleId="72">
    <w:name w:val="Абзац списка2"/>
    <w:basedOn w:val="1"/>
    <w:uiPriority w:val="99"/>
    <w:pPr>
      <w:ind w:left="720"/>
    </w:pPr>
    <w:rPr>
      <w:sz w:val="22"/>
      <w:szCs w:val="22"/>
    </w:rPr>
  </w:style>
  <w:style w:type="paragraph" w:customStyle="1" w:styleId="73">
    <w:name w:val="Абзац списка3"/>
    <w:basedOn w:val="1"/>
    <w:uiPriority w:val="99"/>
    <w:pPr>
      <w:spacing w:before="28" w:after="28"/>
    </w:pPr>
    <w:rPr>
      <w:rFonts w:ascii="Calibri" w:hAnsi="Calibri" w:eastAsia="Lucida Sans Unicode" w:cs="Calibri"/>
    </w:rPr>
  </w:style>
  <w:style w:type="paragraph" w:customStyle="1" w:styleId="74">
    <w:name w:val="Сноска"/>
    <w:basedOn w:val="1"/>
    <w:uiPriority w:val="99"/>
  </w:style>
  <w:style w:type="paragraph" w:customStyle="1" w:styleId="75">
    <w:name w:val="Содержимое врезки"/>
    <w:basedOn w:val="5"/>
    <w:uiPriority w:val="99"/>
  </w:style>
  <w:style w:type="paragraph" w:customStyle="1" w:styleId="76">
    <w:name w:val="Заголовок таблицы"/>
    <w:basedOn w:val="65"/>
    <w:uiPriority w:val="99"/>
  </w:style>
  <w:style w:type="character" w:customStyle="1" w:styleId="77">
    <w:name w:val="Подзаголовок Знак"/>
    <w:link w:val="20"/>
    <w:locked/>
    <w:uiPriority w:val="99"/>
    <w:rPr>
      <w:rFonts w:ascii="Cambria" w:hAnsi="Cambria" w:cs="Cambria"/>
      <w:color w:val="00000A"/>
      <w:sz w:val="24"/>
      <w:szCs w:val="24"/>
    </w:rPr>
  </w:style>
  <w:style w:type="character" w:customStyle="1" w:styleId="78">
    <w:name w:val="apple-converted-space"/>
    <w:uiPriority w:val="99"/>
  </w:style>
  <w:style w:type="paragraph" w:customStyle="1" w:styleId="79">
    <w:name w:val="Normal1"/>
    <w:uiPriority w:val="99"/>
    <w:pPr>
      <w:suppressAutoHyphens/>
      <w:spacing w:before="240" w:line="100" w:lineRule="atLeas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customStyle="1" w:styleId="80">
    <w:name w:val="Текст выноски Знак"/>
    <w:link w:val="11"/>
    <w:semiHidden/>
    <w:locked/>
    <w:uiPriority w:val="99"/>
    <w:rPr>
      <w:rFonts w:ascii="Segoe UI" w:hAnsi="Segoe UI" w:cs="Segoe UI"/>
      <w:color w:val="00000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9B615-4A00-45F3-A30E-5E10D508D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RUSSIA</Company>
  <Pages>4</Pages>
  <Words>1121</Words>
  <Characters>6392</Characters>
  <Lines>53</Lines>
  <Paragraphs>14</Paragraphs>
  <TotalTime>1887</TotalTime>
  <ScaleCrop>false</ScaleCrop>
  <LinksUpToDate>false</LinksUpToDate>
  <CharactersWithSpaces>7499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2014-05-29T05:58:00Z</dcterms:created>
  <dc:creator>Культура</dc:creator>
  <cp:lastModifiedBy>berezina_ns</cp:lastModifiedBy>
  <cp:lastPrinted>2025-03-17T05:41:00Z</cp:lastPrinted>
  <dcterms:modified xsi:type="dcterms:W3CDTF">2025-03-28T12:31:45Z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A0F47C6880904A71B3C0AC4024F9BB54_12</vt:lpwstr>
  </property>
</Properties>
</file>